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A0D8C44">
      <w:pPr>
        <w:pStyle w:val="2"/>
        <w:jc w:val="center"/>
      </w:pPr>
      <w:bookmarkStart w:id="0" w:name="_GoBack"/>
      <w:r>
        <w:t>玻璃制品生产与质量控制科普手册</w:t>
      </w:r>
    </w:p>
    <w:bookmarkEnd w:id="0"/>
    <w:p w14:paraId="6D27CD6D">
      <w:pPr>
        <w:pStyle w:val="3"/>
      </w:pPr>
      <w:r>
        <w:t>一、前言</w:t>
      </w:r>
    </w:p>
    <w:p w14:paraId="48840677">
      <w:pPr>
        <w:pStyle w:val="16"/>
      </w:pPr>
      <w:r>
        <w:t>本手册面向生产、质检、管理及入门学习者，系统介绍</w:t>
      </w:r>
      <w:r>
        <w:rPr>
          <w:b/>
          <w:bCs/>
        </w:rPr>
        <w:t>玻璃制品生产全流程</w:t>
      </w:r>
      <w:r>
        <w:t>与</w:t>
      </w:r>
      <w:r>
        <w:rPr>
          <w:b/>
          <w:bCs/>
        </w:rPr>
        <w:t>关键质量控制点</w:t>
      </w:r>
      <w:r>
        <w:t>，以实用、易懂、可落地为原则，助力规范生产、提升良品率、降低损耗。</w:t>
      </w:r>
    </w:p>
    <w:p w14:paraId="0F435F6E">
      <w:pPr>
        <w:pStyle w:val="3"/>
      </w:pPr>
      <w:r>
        <w:t>二、玻璃基础知识</w:t>
      </w:r>
    </w:p>
    <w:p w14:paraId="76249754">
      <w:pPr>
        <w:pStyle w:val="4"/>
      </w:pPr>
      <w:r>
        <w:t>1. 常见玻璃类型</w:t>
      </w:r>
    </w:p>
    <w:p w14:paraId="1437FDE0">
      <w:pPr>
        <w:pStyle w:val="16"/>
        <w:numPr>
          <w:ilvl w:val="0"/>
          <w:numId w:val="1"/>
        </w:numPr>
      </w:pPr>
      <w:r>
        <w:rPr>
          <w:b/>
          <w:bCs/>
        </w:rPr>
        <w:t>钠钙硅玻璃</w:t>
      </w:r>
      <w:r>
        <w:t>：用量最大，用于瓶罐、器皿、平板玻璃、灯饰玻璃。</w:t>
      </w:r>
    </w:p>
    <w:p w14:paraId="694A2E75">
      <w:pPr>
        <w:pStyle w:val="16"/>
        <w:numPr>
          <w:ilvl w:val="0"/>
          <w:numId w:val="1"/>
        </w:numPr>
      </w:pPr>
      <w:r>
        <w:rPr>
          <w:b/>
          <w:bCs/>
        </w:rPr>
        <w:t>硼硅玻璃</w:t>
      </w:r>
      <w:r>
        <w:t>：耐热、耐化学腐蚀，用于水杯、厨具、实验室玻璃。</w:t>
      </w:r>
    </w:p>
    <w:p w14:paraId="776F1853">
      <w:pPr>
        <w:pStyle w:val="16"/>
        <w:numPr>
          <w:ilvl w:val="0"/>
          <w:numId w:val="1"/>
        </w:numPr>
      </w:pPr>
      <w:r>
        <w:rPr>
          <w:b/>
          <w:bCs/>
        </w:rPr>
        <w:t>钢化玻璃</w:t>
      </w:r>
      <w:r>
        <w:t>：强化处理，强度高、破碎呈钝角颗粒，用于门窗、家电、餐具。</w:t>
      </w:r>
    </w:p>
    <w:p w14:paraId="6D3D1267">
      <w:pPr>
        <w:pStyle w:val="16"/>
        <w:numPr>
          <w:ilvl w:val="0"/>
          <w:numId w:val="1"/>
        </w:numPr>
      </w:pPr>
      <w:r>
        <w:rPr>
          <w:b/>
          <w:bCs/>
        </w:rPr>
        <w:t>石英玻璃</w:t>
      </w:r>
      <w:r>
        <w:t>：耐高温、透光好，用于灯具、光学、半导体。</w:t>
      </w:r>
    </w:p>
    <w:p w14:paraId="25809137">
      <w:pPr>
        <w:pStyle w:val="4"/>
      </w:pPr>
      <w:r>
        <w:t>2. 玻璃基本组成</w:t>
      </w:r>
    </w:p>
    <w:p w14:paraId="5080CDFD">
      <w:pPr>
        <w:pStyle w:val="16"/>
      </w:pPr>
      <w:r>
        <w:t>主要原料：</w:t>
      </w:r>
      <w:r>
        <w:rPr>
          <w:b/>
          <w:bCs/>
        </w:rPr>
        <w:t>石英砂、纯碱、长石、石灰石、澄清剂、着色剂/脱色剂</w:t>
      </w:r>
      <w:r>
        <w:t>。</w:t>
      </w:r>
    </w:p>
    <w:p w14:paraId="5B41F0D5">
      <w:pPr>
        <w:pStyle w:val="16"/>
      </w:pPr>
      <w:r>
        <w:t>核心原理：原料高温熔融→冷却成型→形成非晶态固体。</w:t>
      </w:r>
    </w:p>
    <w:p w14:paraId="4CA8B39A">
      <w:pPr>
        <w:pStyle w:val="3"/>
      </w:pPr>
      <w:r>
        <w:t>三、玻璃制品完整生产工艺流程</w:t>
      </w:r>
    </w:p>
    <w:p w14:paraId="0FEB260E">
      <w:pPr>
        <w:pStyle w:val="4"/>
      </w:pPr>
      <w:r>
        <w:t>1. 原料配料与混合</w:t>
      </w:r>
    </w:p>
    <w:p w14:paraId="78CD75A7">
      <w:pPr>
        <w:pStyle w:val="16"/>
        <w:numPr>
          <w:ilvl w:val="0"/>
          <w:numId w:val="1"/>
        </w:numPr>
      </w:pPr>
      <w:r>
        <w:t>按配方精确称重，误差控制在极小范围。</w:t>
      </w:r>
    </w:p>
    <w:p w14:paraId="0D79558E">
      <w:pPr>
        <w:pStyle w:val="16"/>
        <w:numPr>
          <w:ilvl w:val="0"/>
          <w:numId w:val="1"/>
        </w:numPr>
      </w:pPr>
      <w:r>
        <w:t>混合均匀，避免结块、分层。</w:t>
      </w:r>
    </w:p>
    <w:p w14:paraId="744990CE">
      <w:pPr>
        <w:pStyle w:val="16"/>
      </w:pPr>
      <w:r>
        <w:rPr>
          <w:b/>
          <w:bCs/>
        </w:rPr>
        <w:t>质量风险</w:t>
      </w:r>
      <w:r>
        <w:t>：配比不准→气泡、条纹、色差、强度不足。</w:t>
      </w:r>
    </w:p>
    <w:p w14:paraId="76858B70">
      <w:pPr>
        <w:pStyle w:val="4"/>
      </w:pPr>
      <w:r>
        <w:t>2. 高温熔化</w:t>
      </w:r>
    </w:p>
    <w:p w14:paraId="79B49E43">
      <w:pPr>
        <w:pStyle w:val="16"/>
        <w:numPr>
          <w:ilvl w:val="0"/>
          <w:numId w:val="1"/>
        </w:numPr>
      </w:pPr>
      <w:r>
        <w:t>温度：</w:t>
      </w:r>
      <w:r>
        <w:rPr>
          <w:b/>
          <w:bCs/>
        </w:rPr>
        <w:t>1400℃～1600℃</w:t>
      </w:r>
      <w:r>
        <w:t>。</w:t>
      </w:r>
    </w:p>
    <w:p w14:paraId="0E34758B">
      <w:pPr>
        <w:pStyle w:val="16"/>
        <w:numPr>
          <w:ilvl w:val="0"/>
          <w:numId w:val="1"/>
        </w:numPr>
      </w:pPr>
      <w:r>
        <w:t>过程：熔化→澄清→均化→冷却。</w:t>
      </w:r>
    </w:p>
    <w:p w14:paraId="31724557">
      <w:pPr>
        <w:pStyle w:val="16"/>
      </w:pPr>
      <w:r>
        <w:rPr>
          <w:b/>
          <w:bCs/>
        </w:rPr>
        <w:t>关键控制点</w:t>
      </w:r>
      <w:r>
        <w:t>：</w:t>
      </w:r>
    </w:p>
    <w:p w14:paraId="3D85DA9D">
      <w:pPr>
        <w:pStyle w:val="16"/>
        <w:numPr>
          <w:ilvl w:val="1"/>
          <w:numId w:val="1"/>
        </w:numPr>
      </w:pPr>
      <w:r>
        <w:t>温度曲线稳定</w:t>
      </w:r>
    </w:p>
    <w:p w14:paraId="7A0E896B">
      <w:pPr>
        <w:pStyle w:val="16"/>
        <w:numPr>
          <w:ilvl w:val="1"/>
          <w:numId w:val="1"/>
        </w:numPr>
      </w:pPr>
      <w:r>
        <w:t>熔窑气氛、压力控制</w:t>
      </w:r>
    </w:p>
    <w:p w14:paraId="5546BA10">
      <w:pPr>
        <w:pStyle w:val="16"/>
        <w:numPr>
          <w:ilvl w:val="1"/>
          <w:numId w:val="1"/>
        </w:numPr>
      </w:pPr>
      <w:r>
        <w:t>玻璃液无结石、无气泡、无条纹</w:t>
      </w:r>
    </w:p>
    <w:p w14:paraId="5873B110">
      <w:pPr>
        <w:pStyle w:val="4"/>
      </w:pPr>
      <w:r>
        <w:t>3. 成型工艺</w:t>
      </w:r>
    </w:p>
    <w:p w14:paraId="75F65430">
      <w:pPr>
        <w:pStyle w:val="16"/>
        <w:numPr>
          <w:ilvl w:val="0"/>
          <w:numId w:val="1"/>
        </w:numPr>
      </w:pPr>
      <w:r>
        <w:rPr>
          <w:b/>
          <w:bCs/>
        </w:rPr>
        <w:t>人工成型</w:t>
      </w:r>
      <w:r>
        <w:t>：吹制、压制、拉制（工艺品、异形件）。</w:t>
      </w:r>
    </w:p>
    <w:p w14:paraId="05B970CA">
      <w:pPr>
        <w:pStyle w:val="16"/>
        <w:numPr>
          <w:ilvl w:val="0"/>
          <w:numId w:val="1"/>
        </w:numPr>
      </w:pPr>
      <w:r>
        <w:rPr>
          <w:b/>
          <w:bCs/>
        </w:rPr>
        <w:t>机械成型</w:t>
      </w:r>
      <w:r>
        <w:t>：</w:t>
      </w:r>
    </w:p>
    <w:p w14:paraId="01135973">
      <w:pPr>
        <w:pStyle w:val="16"/>
        <w:numPr>
          <w:ilvl w:val="1"/>
          <w:numId w:val="1"/>
        </w:numPr>
      </w:pPr>
      <w:r>
        <w:t>压制成型：盘、碗、盖板</w:t>
      </w:r>
    </w:p>
    <w:p w14:paraId="5ADDED6E">
      <w:pPr>
        <w:pStyle w:val="16"/>
        <w:numPr>
          <w:ilvl w:val="1"/>
          <w:numId w:val="1"/>
        </w:numPr>
      </w:pPr>
      <w:r>
        <w:t>吹制：瓶、罐、杯</w:t>
      </w:r>
    </w:p>
    <w:p w14:paraId="2AF21032">
      <w:pPr>
        <w:pStyle w:val="16"/>
        <w:numPr>
          <w:ilvl w:val="1"/>
          <w:numId w:val="1"/>
        </w:numPr>
      </w:pPr>
      <w:r>
        <w:t>浮法：平板玻璃</w:t>
      </w:r>
    </w:p>
    <w:p w14:paraId="52C60E49">
      <w:pPr>
        <w:pStyle w:val="16"/>
      </w:pPr>
      <w:r>
        <w:rPr>
          <w:b/>
          <w:bCs/>
        </w:rPr>
        <w:t>质量风险</w:t>
      </w:r>
      <w:r>
        <w:t>：变形、厚薄不均、冷斑、合模线不良。</w:t>
      </w:r>
    </w:p>
    <w:p w14:paraId="7D7F50C3">
      <w:pPr>
        <w:pStyle w:val="4"/>
      </w:pPr>
      <w:r>
        <w:t>4. 退火处理</w:t>
      </w:r>
    </w:p>
    <w:p w14:paraId="351D8E5C">
      <w:pPr>
        <w:pStyle w:val="16"/>
      </w:pPr>
      <w:r>
        <w:t>退火目的：</w:t>
      </w:r>
      <w:r>
        <w:rPr>
          <w:b/>
          <w:bCs/>
        </w:rPr>
        <w:t>消除内应力</w:t>
      </w:r>
      <w:r>
        <w:t>，防止炸裂、自爆。</w:t>
      </w:r>
    </w:p>
    <w:p w14:paraId="70F523CF">
      <w:pPr>
        <w:pStyle w:val="16"/>
      </w:pPr>
      <w:r>
        <w:rPr>
          <w:b/>
          <w:bCs/>
        </w:rPr>
        <w:t>关键控制点</w:t>
      </w:r>
      <w:r>
        <w:t>：退火温度、保温时间、降温速率。</w:t>
      </w:r>
    </w:p>
    <w:p w14:paraId="14039F7F">
      <w:pPr>
        <w:pStyle w:val="16"/>
      </w:pPr>
      <w:r>
        <w:t>不合格后果：轻微磕碰即碎，存放/运输中自发炸裂。</w:t>
      </w:r>
    </w:p>
    <w:p w14:paraId="077AB257">
      <w:pPr>
        <w:pStyle w:val="4"/>
      </w:pPr>
      <w:r>
        <w:t>5. 深加工（按需）</w:t>
      </w:r>
    </w:p>
    <w:p w14:paraId="65C62BAE">
      <w:pPr>
        <w:pStyle w:val="16"/>
        <w:numPr>
          <w:ilvl w:val="0"/>
          <w:numId w:val="1"/>
        </w:numPr>
      </w:pPr>
      <w:r>
        <w:t>切割、磨边、打孔</w:t>
      </w:r>
    </w:p>
    <w:p w14:paraId="3426FFF7">
      <w:pPr>
        <w:pStyle w:val="16"/>
        <w:numPr>
          <w:ilvl w:val="0"/>
          <w:numId w:val="1"/>
        </w:numPr>
      </w:pPr>
      <w:r>
        <w:t>钢化、热弯、夹层、镀膜</w:t>
      </w:r>
    </w:p>
    <w:p w14:paraId="5F6C00F4">
      <w:pPr>
        <w:pStyle w:val="16"/>
        <w:numPr>
          <w:ilvl w:val="0"/>
          <w:numId w:val="1"/>
        </w:numPr>
      </w:pPr>
      <w:r>
        <w:t>印刷、彩绘、喷砂、蒙砂</w:t>
      </w:r>
    </w:p>
    <w:p w14:paraId="6BDF8ACE">
      <w:pPr>
        <w:pStyle w:val="16"/>
      </w:pPr>
      <w:r>
        <w:rPr>
          <w:b/>
          <w:bCs/>
        </w:rPr>
        <w:t>质量控制点</w:t>
      </w:r>
      <w:r>
        <w:t>：尺寸精度、边缘崩边、表面划伤。</w:t>
      </w:r>
    </w:p>
    <w:p w14:paraId="1C2E4263">
      <w:pPr>
        <w:pStyle w:val="4"/>
      </w:pPr>
      <w:r>
        <w:t>6. 清洗、检验、包装</w:t>
      </w:r>
    </w:p>
    <w:p w14:paraId="3A00F5C3">
      <w:pPr>
        <w:pStyle w:val="16"/>
        <w:numPr>
          <w:ilvl w:val="0"/>
          <w:numId w:val="1"/>
        </w:numPr>
      </w:pPr>
      <w:r>
        <w:t>清洗除油、除粉、除水渍。</w:t>
      </w:r>
    </w:p>
    <w:p w14:paraId="637F4ECC">
      <w:pPr>
        <w:pStyle w:val="16"/>
        <w:numPr>
          <w:ilvl w:val="0"/>
          <w:numId w:val="1"/>
        </w:numPr>
      </w:pPr>
      <w:r>
        <w:t>全项检验合格后包装，防震、防磨、防压。</w:t>
      </w:r>
    </w:p>
    <w:p w14:paraId="525C87B5">
      <w:pPr>
        <w:pStyle w:val="3"/>
      </w:pPr>
      <w:r>
        <w:t>四、核心质量控制项目与检测方法</w:t>
      </w:r>
    </w:p>
    <w:p w14:paraId="4F024A7D">
      <w:pPr>
        <w:pStyle w:val="4"/>
      </w:pPr>
      <w:r>
        <w:t>1. 外观质量</w:t>
      </w:r>
    </w:p>
    <w:p w14:paraId="22916F03">
      <w:pPr>
        <w:pStyle w:val="16"/>
      </w:pPr>
      <w:r>
        <w:rPr>
          <w:b/>
          <w:bCs/>
        </w:rPr>
        <w:t>必检项</w:t>
      </w:r>
      <w:r>
        <w:t>：</w:t>
      </w:r>
    </w:p>
    <w:p w14:paraId="7A5568B4">
      <w:pPr>
        <w:pStyle w:val="16"/>
        <w:numPr>
          <w:ilvl w:val="0"/>
          <w:numId w:val="1"/>
        </w:numPr>
      </w:pPr>
      <w:r>
        <w:t>气泡：数量、大小、位置</w:t>
      </w:r>
    </w:p>
    <w:p w14:paraId="22E6685D">
      <w:pPr>
        <w:pStyle w:val="16"/>
        <w:numPr>
          <w:ilvl w:val="0"/>
          <w:numId w:val="1"/>
        </w:numPr>
      </w:pPr>
      <w:r>
        <w:t>结石、杂质</w:t>
      </w:r>
    </w:p>
    <w:p w14:paraId="646BFEFD">
      <w:pPr>
        <w:pStyle w:val="16"/>
        <w:numPr>
          <w:ilvl w:val="0"/>
          <w:numId w:val="1"/>
        </w:numPr>
      </w:pPr>
      <w:r>
        <w:t>条纹、波纹</w:t>
      </w:r>
    </w:p>
    <w:p w14:paraId="5E8867AA">
      <w:pPr>
        <w:pStyle w:val="16"/>
        <w:numPr>
          <w:ilvl w:val="0"/>
          <w:numId w:val="1"/>
        </w:numPr>
      </w:pPr>
      <w:r>
        <w:t>划伤、磨痕、斑点</w:t>
      </w:r>
    </w:p>
    <w:p w14:paraId="3F97933D">
      <w:pPr>
        <w:pStyle w:val="16"/>
        <w:numPr>
          <w:ilvl w:val="0"/>
          <w:numId w:val="1"/>
        </w:numPr>
      </w:pPr>
      <w:r>
        <w:t>变形、翘曲、偏心</w:t>
      </w:r>
    </w:p>
    <w:p w14:paraId="752A6FA3">
      <w:pPr>
        <w:pStyle w:val="16"/>
      </w:pPr>
      <w:r>
        <w:rPr>
          <w:b/>
          <w:bCs/>
        </w:rPr>
        <w:t>判定</w:t>
      </w:r>
      <w:r>
        <w:t>：按产品标准（食品级/工业级/日用级）限定允许范围。</w:t>
      </w:r>
    </w:p>
    <w:p w14:paraId="70E8CC3B">
      <w:pPr>
        <w:pStyle w:val="4"/>
      </w:pPr>
      <w:r>
        <w:t>2. 尺寸与形位公差</w:t>
      </w:r>
    </w:p>
    <w:p w14:paraId="22F9E65C">
      <w:pPr>
        <w:pStyle w:val="16"/>
        <w:numPr>
          <w:ilvl w:val="0"/>
          <w:numId w:val="1"/>
        </w:numPr>
      </w:pPr>
      <w:r>
        <w:t>口径、高度、壁厚、底厚</w:t>
      </w:r>
    </w:p>
    <w:p w14:paraId="60B49006">
      <w:pPr>
        <w:pStyle w:val="16"/>
        <w:numPr>
          <w:ilvl w:val="0"/>
          <w:numId w:val="1"/>
        </w:numPr>
      </w:pPr>
      <w:r>
        <w:t>平整度、垂直度、同轴度</w:t>
      </w:r>
    </w:p>
    <w:p w14:paraId="7E8C5758">
      <w:pPr>
        <w:pStyle w:val="16"/>
      </w:pPr>
      <w:r>
        <w:rPr>
          <w:b/>
          <w:bCs/>
        </w:rPr>
        <w:t>工具</w:t>
      </w:r>
      <w:r>
        <w:t>：卡尺、高度规、壁厚仪、样板。</w:t>
      </w:r>
    </w:p>
    <w:p w14:paraId="2077F90D">
      <w:pPr>
        <w:pStyle w:val="4"/>
      </w:pPr>
      <w:r>
        <w:t>3. 理化性能（重点用于食品接触/耐热产品）</w:t>
      </w:r>
    </w:p>
    <w:p w14:paraId="5C69114F">
      <w:pPr>
        <w:pStyle w:val="16"/>
        <w:numPr>
          <w:ilvl w:val="0"/>
          <w:numId w:val="1"/>
        </w:numPr>
      </w:pPr>
      <w:r>
        <w:rPr>
          <w:b/>
          <w:bCs/>
        </w:rPr>
        <w:t>耐热冲击</w:t>
      </w:r>
      <w:r>
        <w:t>：急冷急热不炸裂（硼硅玻璃重点）。</w:t>
      </w:r>
    </w:p>
    <w:p w14:paraId="53D8D53C">
      <w:pPr>
        <w:pStyle w:val="16"/>
        <w:numPr>
          <w:ilvl w:val="0"/>
          <w:numId w:val="1"/>
        </w:numPr>
      </w:pPr>
      <w:r>
        <w:rPr>
          <w:b/>
          <w:bCs/>
        </w:rPr>
        <w:t>化学稳定性</w:t>
      </w:r>
      <w:r>
        <w:t>：耐水、耐酸、耐碱，符合食品接触标准。</w:t>
      </w:r>
    </w:p>
    <w:p w14:paraId="5748FC3B">
      <w:pPr>
        <w:pStyle w:val="16"/>
        <w:numPr>
          <w:ilvl w:val="0"/>
          <w:numId w:val="1"/>
        </w:numPr>
      </w:pPr>
      <w:r>
        <w:rPr>
          <w:b/>
          <w:bCs/>
        </w:rPr>
        <w:t>内应力</w:t>
      </w:r>
      <w:r>
        <w:t>：偏光仪检测，应力过强判不合格。</w:t>
      </w:r>
    </w:p>
    <w:p w14:paraId="75EAB3FB">
      <w:pPr>
        <w:pStyle w:val="4"/>
      </w:pPr>
      <w:r>
        <w:t>4. 强度与安全性能</w:t>
      </w:r>
    </w:p>
    <w:p w14:paraId="35565077">
      <w:pPr>
        <w:pStyle w:val="16"/>
        <w:numPr>
          <w:ilvl w:val="0"/>
          <w:numId w:val="1"/>
        </w:numPr>
      </w:pPr>
      <w:r>
        <w:t>抗冲击</w:t>
      </w:r>
    </w:p>
    <w:p w14:paraId="6F48CD81">
      <w:pPr>
        <w:pStyle w:val="16"/>
        <w:numPr>
          <w:ilvl w:val="0"/>
          <w:numId w:val="1"/>
        </w:numPr>
      </w:pPr>
      <w:r>
        <w:t>抗压强度</w:t>
      </w:r>
    </w:p>
    <w:p w14:paraId="61086F52">
      <w:pPr>
        <w:pStyle w:val="16"/>
        <w:numPr>
          <w:ilvl w:val="0"/>
          <w:numId w:val="1"/>
        </w:numPr>
      </w:pPr>
      <w:r>
        <w:t>钢化玻璃：颗粒度测试、自爆率控制</w:t>
      </w:r>
    </w:p>
    <w:p w14:paraId="49EC717F">
      <w:pPr>
        <w:pStyle w:val="4"/>
      </w:pPr>
      <w:r>
        <w:t>5. 包装与标识</w:t>
      </w:r>
    </w:p>
    <w:p w14:paraId="3FE43511">
      <w:pPr>
        <w:pStyle w:val="16"/>
        <w:numPr>
          <w:ilvl w:val="0"/>
          <w:numId w:val="1"/>
        </w:numPr>
      </w:pPr>
      <w:r>
        <w:t>标识：品名、规格、材质、耐热等级、执行标准。</w:t>
      </w:r>
    </w:p>
    <w:p w14:paraId="65BDF9C6">
      <w:pPr>
        <w:pStyle w:val="16"/>
        <w:numPr>
          <w:ilvl w:val="0"/>
          <w:numId w:val="1"/>
        </w:numPr>
      </w:pPr>
      <w:r>
        <w:t>包装：防震缓冲、防潮、防摩擦。</w:t>
      </w:r>
    </w:p>
    <w:p w14:paraId="67127217">
      <w:pPr>
        <w:pStyle w:val="3"/>
      </w:pPr>
      <w:r>
        <w:t>五、常见缺陷原因与解决思路</w:t>
      </w:r>
    </w:p>
    <w:p w14:paraId="33BD2D6A">
      <w:pPr>
        <w:pStyle w:val="16"/>
        <w:numPr>
          <w:ilvl w:val="0"/>
          <w:numId w:val="2"/>
        </w:numPr>
      </w:pPr>
      <w:r>
        <w:rPr>
          <w:b/>
          <w:bCs/>
        </w:rPr>
        <w:t>气泡</w:t>
      </w:r>
    </w:p>
    <w:p w14:paraId="7D17368F">
      <w:pPr>
        <w:pStyle w:val="16"/>
      </w:pPr>
      <w:r>
        <w:t>原因：原料含水、熔化不足、澄清不良、模具排气差。</w:t>
      </w:r>
    </w:p>
    <w:p w14:paraId="7DC1F565">
      <w:pPr>
        <w:pStyle w:val="16"/>
      </w:pPr>
      <w:r>
        <w:t>对策：烘干原料、优化温度曲线、改善排气。</w:t>
      </w:r>
    </w:p>
    <w:p w14:paraId="123E6D28">
      <w:pPr>
        <w:pStyle w:val="16"/>
        <w:numPr>
          <w:ilvl w:val="0"/>
          <w:numId w:val="2"/>
        </w:numPr>
      </w:pPr>
      <w:r>
        <w:rPr>
          <w:b/>
          <w:bCs/>
        </w:rPr>
        <w:t>结石/杂质</w:t>
      </w:r>
    </w:p>
    <w:p w14:paraId="590E4DC5">
      <w:pPr>
        <w:pStyle w:val="16"/>
      </w:pPr>
      <w:r>
        <w:t>原因：原料不纯、耐火材料脱落、混料污染。</w:t>
      </w:r>
    </w:p>
    <w:p w14:paraId="19250BB7">
      <w:pPr>
        <w:pStyle w:val="16"/>
      </w:pPr>
      <w:r>
        <w:t>对策：原料过筛、维护窑炉、清洁环境。</w:t>
      </w:r>
    </w:p>
    <w:p w14:paraId="3223DA91">
      <w:pPr>
        <w:pStyle w:val="16"/>
        <w:numPr>
          <w:ilvl w:val="0"/>
          <w:numId w:val="2"/>
        </w:numPr>
      </w:pPr>
      <w:r>
        <w:rPr>
          <w:b/>
          <w:bCs/>
        </w:rPr>
        <w:t>变形、尺寸偏差</w:t>
      </w:r>
    </w:p>
    <w:p w14:paraId="73D4B371">
      <w:pPr>
        <w:pStyle w:val="16"/>
      </w:pPr>
      <w:r>
        <w:t>原因：成型温度不稳、模具磨损、退火不当。</w:t>
      </w:r>
    </w:p>
    <w:p w14:paraId="412E602E">
      <w:pPr>
        <w:pStyle w:val="16"/>
      </w:pPr>
      <w:r>
        <w:t>对策：控温、定期校验模具、规范退火。</w:t>
      </w:r>
    </w:p>
    <w:p w14:paraId="6E1FCAFF">
      <w:pPr>
        <w:pStyle w:val="16"/>
        <w:numPr>
          <w:ilvl w:val="0"/>
          <w:numId w:val="2"/>
        </w:numPr>
      </w:pPr>
      <w:r>
        <w:rPr>
          <w:b/>
          <w:bCs/>
        </w:rPr>
        <w:t>炸裂/自爆</w:t>
      </w:r>
    </w:p>
    <w:p w14:paraId="446F94C5">
      <w:pPr>
        <w:pStyle w:val="16"/>
      </w:pPr>
      <w:r>
        <w:t>原因：内应力过大、冷热不均、有暗伤。</w:t>
      </w:r>
    </w:p>
    <w:p w14:paraId="7C127E6D">
      <w:pPr>
        <w:pStyle w:val="16"/>
      </w:pPr>
      <w:r>
        <w:t>对策：强化退火、避免急冷急热、加强外观全检。</w:t>
      </w:r>
    </w:p>
    <w:p w14:paraId="0B5C05A0">
      <w:pPr>
        <w:pStyle w:val="16"/>
        <w:numPr>
          <w:ilvl w:val="0"/>
          <w:numId w:val="2"/>
        </w:numPr>
      </w:pPr>
      <w:r>
        <w:rPr>
          <w:b/>
          <w:bCs/>
        </w:rPr>
        <w:t>划伤、脏点</w:t>
      </w:r>
    </w:p>
    <w:p w14:paraId="3821C66B">
      <w:pPr>
        <w:pStyle w:val="16"/>
      </w:pPr>
      <w:r>
        <w:t>原因：输送摩擦、清洗不良、环境粉尘。</w:t>
      </w:r>
    </w:p>
    <w:p w14:paraId="653FD721">
      <w:pPr>
        <w:pStyle w:val="16"/>
      </w:pPr>
      <w:r>
        <w:t>对策：优化线体、加强清洗、控制车间洁净度。</w:t>
      </w:r>
    </w:p>
    <w:p w14:paraId="01EF0B4C">
      <w:pPr>
        <w:pStyle w:val="3"/>
      </w:pPr>
      <w:r>
        <w:t>六、生产现场质量控制规范</w:t>
      </w:r>
    </w:p>
    <w:p w14:paraId="7DA4BF06">
      <w:pPr>
        <w:pStyle w:val="16"/>
        <w:numPr>
          <w:ilvl w:val="0"/>
          <w:numId w:val="2"/>
        </w:numPr>
      </w:pPr>
      <w:r>
        <w:t>三检制度：</w:t>
      </w:r>
      <w:r>
        <w:rPr>
          <w:b/>
          <w:bCs/>
        </w:rPr>
        <w:t>自检、互检、专检</w:t>
      </w:r>
      <w:r>
        <w:t>。</w:t>
      </w:r>
    </w:p>
    <w:p w14:paraId="1F9D54E5">
      <w:pPr>
        <w:pStyle w:val="16"/>
        <w:numPr>
          <w:ilvl w:val="0"/>
          <w:numId w:val="2"/>
        </w:numPr>
      </w:pPr>
      <w:r>
        <w:t>关键工序设质量控制点，记录温度、时间、参数。</w:t>
      </w:r>
    </w:p>
    <w:p w14:paraId="292C6DC5">
      <w:pPr>
        <w:pStyle w:val="16"/>
        <w:numPr>
          <w:ilvl w:val="0"/>
          <w:numId w:val="2"/>
        </w:numPr>
      </w:pPr>
      <w:r>
        <w:t>不合格品分区、标识、隔离、返工/报废处理。</w:t>
      </w:r>
    </w:p>
    <w:p w14:paraId="3F15EE3A">
      <w:pPr>
        <w:pStyle w:val="16"/>
        <w:numPr>
          <w:ilvl w:val="0"/>
          <w:numId w:val="2"/>
        </w:numPr>
      </w:pPr>
      <w:r>
        <w:t>模具定期保养、校准、更换。</w:t>
      </w:r>
    </w:p>
    <w:p w14:paraId="00875740">
      <w:pPr>
        <w:pStyle w:val="16"/>
        <w:numPr>
          <w:ilvl w:val="0"/>
          <w:numId w:val="2"/>
        </w:numPr>
      </w:pPr>
      <w:r>
        <w:t>员工岗前培训：标准、缺陷识别、安全操作。</w:t>
      </w:r>
    </w:p>
    <w:p w14:paraId="35DA18D8">
      <w:pPr>
        <w:pStyle w:val="3"/>
      </w:pPr>
      <w:r>
        <w:t>七、安全注意事项</w:t>
      </w:r>
    </w:p>
    <w:p w14:paraId="65F22E34">
      <w:pPr>
        <w:pStyle w:val="16"/>
        <w:numPr>
          <w:ilvl w:val="0"/>
          <w:numId w:val="1"/>
        </w:numPr>
      </w:pPr>
      <w:r>
        <w:t>高温区防烫伤、防玻璃飞溅。</w:t>
      </w:r>
    </w:p>
    <w:p w14:paraId="7834493E">
      <w:pPr>
        <w:pStyle w:val="16"/>
        <w:numPr>
          <w:ilvl w:val="0"/>
          <w:numId w:val="1"/>
        </w:numPr>
      </w:pPr>
      <w:r>
        <w:t>熔窑区域注意防爆、防煤气/天然气泄漏。</w:t>
      </w:r>
    </w:p>
    <w:p w14:paraId="3D2EBF1F">
      <w:pPr>
        <w:pStyle w:val="16"/>
        <w:numPr>
          <w:ilvl w:val="0"/>
          <w:numId w:val="1"/>
        </w:numPr>
      </w:pPr>
      <w:r>
        <w:t>破碎玻璃规范处理，防止割伤。</w:t>
      </w:r>
    </w:p>
    <w:p w14:paraId="50AE9052">
      <w:pPr>
        <w:pStyle w:val="16"/>
        <w:numPr>
          <w:ilvl w:val="0"/>
          <w:numId w:val="1"/>
        </w:numPr>
      </w:pPr>
      <w:r>
        <w:t>化学品（清洗剂、油墨）按规定使用存放。</w:t>
      </w:r>
    </w:p>
    <w:p w14:paraId="064EC1DD">
      <w:pPr>
        <w:pStyle w:val="16"/>
      </w:pPr>
    </w:p>
    <w:sectPr>
      <w:pgSz w:w="11906" w:h="16838"/>
      <w:pgMar w:top="1440" w:right="1440" w:bottom="1440" w:left="1440" w:header="708" w:footer="708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53208E"/>
    <w:multiLevelType w:val="multilevel"/>
    <w:tmpl w:val="0053208E"/>
    <w:lvl w:ilvl="0" w:tentative="0">
      <w:start w:val="1"/>
      <w:numFmt w:val="bullet"/>
      <w:lvlText w:val="•"/>
      <w:lvlJc w:val="left"/>
      <w:pPr>
        <w:ind w:left="288" w:hanging="288"/>
      </w:pPr>
      <w:rPr>
        <w:color w:val="3370FF"/>
        <w:sz w:val="22"/>
        <w:szCs w:val="22"/>
      </w:rPr>
    </w:lvl>
    <w:lvl w:ilvl="1" w:tentative="0">
      <w:start w:val="1"/>
      <w:numFmt w:val="bullet"/>
      <w:lvlText w:val="◦"/>
      <w:lvlJc w:val="left"/>
      <w:pPr>
        <w:ind w:left="720" w:hanging="288"/>
      </w:pPr>
      <w:rPr>
        <w:color w:val="3370FF"/>
        <w:sz w:val="22"/>
        <w:szCs w:val="22"/>
      </w:rPr>
    </w:lvl>
    <w:lvl w:ilvl="2" w:tentative="0">
      <w:start w:val="1"/>
      <w:numFmt w:val="bullet"/>
      <w:lvlText w:val="▪"/>
      <w:lvlJc w:val="left"/>
      <w:pPr>
        <w:ind w:left="1152" w:hanging="288"/>
      </w:pPr>
      <w:rPr>
        <w:color w:val="3370FF"/>
        <w:sz w:val="22"/>
        <w:szCs w:val="22"/>
      </w:rPr>
    </w:lvl>
  </w:abstractNum>
  <w:abstractNum w:abstractNumId="1">
    <w:nsid w:val="59ADCABA"/>
    <w:multiLevelType w:val="multilevel"/>
    <w:tmpl w:val="59ADCABA"/>
    <w:lvl w:ilvl="0" w:tentative="0">
      <w:start w:val="1"/>
      <w:numFmt w:val="decimal"/>
      <w:lvlText w:val="%1."/>
      <w:lvlJc w:val="left"/>
      <w:pPr>
        <w:ind w:left="288" w:hanging="288"/>
      </w:pPr>
      <w:rPr>
        <w:color w:val="3370FF"/>
        <w:sz w:val="22"/>
        <w:szCs w:val="22"/>
      </w:rPr>
    </w:lvl>
    <w:lvl w:ilvl="1" w:tentative="0">
      <w:start w:val="1"/>
      <w:numFmt w:val="lowerLetter"/>
      <w:lvlText w:val="%2."/>
      <w:lvlJc w:val="left"/>
      <w:pPr>
        <w:ind w:left="720" w:hanging="288"/>
      </w:pPr>
      <w:rPr>
        <w:color w:val="3370FF"/>
        <w:sz w:val="22"/>
        <w:szCs w:val="22"/>
      </w:rPr>
    </w:lvl>
    <w:lvl w:ilvl="2" w:tentative="0">
      <w:start w:val="1"/>
      <w:numFmt w:val="lowerRoman"/>
      <w:lvlText w:val="%3."/>
      <w:lvlJc w:val="left"/>
      <w:pPr>
        <w:ind w:left="1152" w:hanging="288"/>
      </w:pPr>
      <w:rPr>
        <w:color w:val="3370FF"/>
        <w:sz w:val="22"/>
        <w:szCs w:val="22"/>
      </w:rPr>
    </w:lvl>
  </w:abstractNum>
  <w:num w:numId="1">
    <w:abstractNumId w:val="0"/>
    <w:lvlOverride w:ilvl="0">
      <w:startOverride w:val="1"/>
    </w:lvlOverride>
  </w:num>
  <w:num w:numId="2">
    <w:abstractNumId w:val="1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documentProtection w:enforcement="0"/>
  <w:compat>
    <w:useFELayout/>
    <w:compatSetting w:name="compatibilityMode" w:uri="http://schemas.microsoft.com/office/word" w:val="15"/>
  </w:compat>
  <w:rsids>
    <w:rsidRoot w:val="00000000"/>
    <w:rsid w:val="64FF6D8C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iPriority="99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iPriority="99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sz w:val="21"/>
      <w:szCs w:val="22"/>
    </w:rPr>
  </w:style>
  <w:style w:type="paragraph" w:styleId="2">
    <w:name w:val="heading 1"/>
    <w:next w:val="1"/>
    <w:qFormat/>
    <w:uiPriority w:val="0"/>
    <w:pPr>
      <w:spacing w:before="380" w:after="140" w:line="288" w:lineRule="auto"/>
      <w:ind w:left="0"/>
      <w:jc w:val="left"/>
      <w:outlineLvl w:val="0"/>
    </w:pPr>
    <w:rPr>
      <w:rFonts w:ascii="Arial" w:hAnsi="Arial" w:eastAsia="等线" w:cs="Arial"/>
      <w:b/>
      <w:bCs/>
      <w:sz w:val="36"/>
      <w:szCs w:val="36"/>
    </w:rPr>
  </w:style>
  <w:style w:type="paragraph" w:styleId="3">
    <w:name w:val="heading 2"/>
    <w:next w:val="1"/>
    <w:qFormat/>
    <w:uiPriority w:val="0"/>
    <w:pPr>
      <w:spacing w:before="320" w:after="120" w:line="288" w:lineRule="auto"/>
      <w:ind w:left="0"/>
      <w:jc w:val="left"/>
      <w:outlineLvl w:val="1"/>
    </w:pPr>
    <w:rPr>
      <w:rFonts w:ascii="Arial" w:hAnsi="Arial" w:eastAsia="等线" w:cs="Arial"/>
      <w:b/>
      <w:bCs/>
      <w:sz w:val="32"/>
      <w:szCs w:val="32"/>
    </w:rPr>
  </w:style>
  <w:style w:type="paragraph" w:styleId="4">
    <w:name w:val="heading 3"/>
    <w:next w:val="1"/>
    <w:qFormat/>
    <w:uiPriority w:val="0"/>
    <w:pPr>
      <w:spacing w:before="300" w:after="120" w:line="288" w:lineRule="auto"/>
      <w:ind w:left="0"/>
      <w:jc w:val="left"/>
      <w:outlineLvl w:val="2"/>
    </w:pPr>
    <w:rPr>
      <w:rFonts w:ascii="Arial" w:hAnsi="Arial" w:eastAsia="等线" w:cs="Arial"/>
      <w:b/>
      <w:bCs/>
      <w:sz w:val="30"/>
      <w:szCs w:val="30"/>
    </w:rPr>
  </w:style>
  <w:style w:type="paragraph" w:styleId="5">
    <w:name w:val="heading 4"/>
    <w:next w:val="1"/>
    <w:qFormat/>
    <w:uiPriority w:val="0"/>
    <w:pPr>
      <w:spacing w:before="260" w:after="120" w:line="288" w:lineRule="auto"/>
      <w:ind w:left="0"/>
      <w:jc w:val="left"/>
      <w:outlineLvl w:val="3"/>
    </w:pPr>
    <w:rPr>
      <w:rFonts w:ascii="Arial" w:hAnsi="Arial" w:eastAsia="等线" w:cs="Arial"/>
      <w:b/>
      <w:bCs/>
      <w:sz w:val="28"/>
      <w:szCs w:val="28"/>
    </w:rPr>
  </w:style>
  <w:style w:type="paragraph" w:styleId="6">
    <w:name w:val="heading 5"/>
    <w:next w:val="1"/>
    <w:qFormat/>
    <w:uiPriority w:val="0"/>
    <w:pPr>
      <w:spacing w:before="240" w:after="120" w:line="288" w:lineRule="auto"/>
      <w:ind w:left="0"/>
      <w:jc w:val="left"/>
      <w:outlineLvl w:val="4"/>
    </w:pPr>
    <w:rPr>
      <w:rFonts w:ascii="Arial" w:hAnsi="Arial" w:eastAsia="等线" w:cs="Arial"/>
      <w:b/>
      <w:bCs/>
      <w:sz w:val="24"/>
      <w:szCs w:val="24"/>
    </w:rPr>
  </w:style>
  <w:style w:type="paragraph" w:styleId="7">
    <w:name w:val="heading 6"/>
    <w:next w:val="1"/>
    <w:qFormat/>
    <w:uiPriority w:val="0"/>
    <w:pPr>
      <w:spacing w:before="240" w:after="120" w:line="288" w:lineRule="auto"/>
      <w:ind w:left="0"/>
      <w:jc w:val="left"/>
      <w:outlineLvl w:val="5"/>
    </w:pPr>
    <w:rPr>
      <w:rFonts w:ascii="Arial" w:hAnsi="Arial" w:eastAsia="等线" w:cs="Arial"/>
      <w:b/>
      <w:bCs/>
      <w:sz w:val="24"/>
      <w:szCs w:val="24"/>
    </w:rPr>
  </w:style>
  <w:style w:type="character" w:default="1" w:styleId="11">
    <w:name w:val="Default Paragraph Font"/>
    <w:semiHidden/>
    <w:uiPriority w:val="0"/>
  </w:style>
  <w:style w:type="table" w:default="1" w:styleId="10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8">
    <w:name w:val="footnote text"/>
    <w:link w:val="15"/>
    <w:semiHidden/>
    <w:unhideWhenUsed/>
    <w:uiPriority w:val="99"/>
    <w:pPr>
      <w:spacing w:after="0" w:line="240" w:lineRule="auto"/>
    </w:pPr>
    <w:rPr>
      <w:sz w:val="20"/>
      <w:szCs w:val="20"/>
    </w:rPr>
  </w:style>
  <w:style w:type="paragraph" w:styleId="9">
    <w:name w:val="Title"/>
    <w:qFormat/>
    <w:uiPriority w:val="0"/>
    <w:pPr>
      <w:spacing w:before="480" w:after="480" w:line="288" w:lineRule="auto"/>
      <w:ind w:left="0"/>
    </w:pPr>
    <w:rPr>
      <w:rFonts w:ascii="Arial" w:hAnsi="Arial" w:eastAsia="等线" w:cs="Arial"/>
      <w:b/>
      <w:bCs/>
      <w:sz w:val="52"/>
      <w:szCs w:val="52"/>
    </w:rPr>
  </w:style>
  <w:style w:type="character" w:styleId="12">
    <w:name w:val="Hyperlink"/>
    <w:unhideWhenUsed/>
    <w:qFormat/>
    <w:uiPriority w:val="99"/>
    <w:rPr>
      <w:color w:val="0563C1"/>
      <w:u w:val="single"/>
    </w:rPr>
  </w:style>
  <w:style w:type="character" w:styleId="13">
    <w:name w:val="footnote reference"/>
    <w:semiHidden/>
    <w:unhideWhenUsed/>
    <w:qFormat/>
    <w:uiPriority w:val="99"/>
    <w:rPr>
      <w:vertAlign w:val="superscript"/>
    </w:rPr>
  </w:style>
  <w:style w:type="paragraph" w:styleId="14">
    <w:name w:val="List Paragraph"/>
    <w:qFormat/>
    <w:uiPriority w:val="0"/>
    <w:rPr>
      <w:sz w:val="21"/>
      <w:szCs w:val="22"/>
    </w:rPr>
  </w:style>
  <w:style w:type="character" w:customStyle="1" w:styleId="15">
    <w:name w:val="Footnote Text Char"/>
    <w:link w:val="8"/>
    <w:semiHidden/>
    <w:unhideWhenUsed/>
    <w:uiPriority w:val="99"/>
    <w:rPr>
      <w:sz w:val="20"/>
      <w:szCs w:val="20"/>
    </w:rPr>
  </w:style>
  <w:style w:type="paragraph" w:customStyle="1" w:styleId="16">
    <w:name w:val="_Style 13"/>
    <w:qFormat/>
    <w:uiPriority w:val="0"/>
    <w:pPr>
      <w:spacing w:before="120" w:after="120" w:line="288" w:lineRule="auto"/>
      <w:ind w:left="0"/>
      <w:jc w:val="left"/>
    </w:pPr>
    <w:rPr>
      <w:rFonts w:ascii="Arial" w:hAnsi="Arial" w:eastAsia="等线" w:cs="Arial"/>
      <w:sz w:val="22"/>
      <w:szCs w:val="22"/>
    </w:rPr>
  </w:style>
  <w:style w:type="paragraph" w:customStyle="1" w:styleId="17">
    <w:name w:val="_Style 14"/>
    <w:qFormat/>
    <w:uiPriority w:val="0"/>
    <w:pPr>
      <w:spacing w:before="120" w:after="120" w:line="288" w:lineRule="auto"/>
      <w:ind w:left="0"/>
      <w:jc w:val="left"/>
    </w:pPr>
    <w:rPr>
      <w:rFonts w:ascii="Arial" w:hAnsi="Arial" w:eastAsia="等线" w:cs="Arial"/>
      <w:color w:val="8F959E"/>
      <w:sz w:val="22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4</Pages>
  <Words>1535</Words>
  <Characters>1559</Characters>
  <TotalTime>0</TotalTime>
  <ScaleCrop>false</ScaleCrop>
  <LinksUpToDate>false</LinksUpToDate>
  <CharactersWithSpaces>1572</CharactersWithSpaces>
  <Application>WPS Office_12.1.0.24657_F1E327BC-269C-435d-A152-05C5408002CA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2026-03-14T06:30:00Z</dcterms:created>
  <dc:creator>Un-named</dc:creator>
  <cp:lastModifiedBy>open</cp:lastModifiedBy>
  <dcterms:modified xsi:type="dcterms:W3CDTF">2026-03-14T06:32:26Z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eyJoZGlkIjoiYzlmMGM1MTg2N2RkNmJmYmRmMDBjMGM1YmY3ODA3OWUiLCJ1c2VySWQiOiIyMjg5NTg5MjIifQ==</vt:lpwstr>
  </property>
  <property fmtid="{D5CDD505-2E9C-101B-9397-08002B2CF9AE}" pid="3" name="KSOProductBuildVer">
    <vt:lpwstr>2052-12.1.0.24657</vt:lpwstr>
  </property>
  <property fmtid="{D5CDD505-2E9C-101B-9397-08002B2CF9AE}" pid="4" name="ICV">
    <vt:lpwstr>9B03FB09F86A4AC2AD9D927BCE72E7D4_13</vt:lpwstr>
  </property>
</Properties>
</file>